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"/>
        <w:gridCol w:w="5953"/>
        <w:gridCol w:w="5954"/>
        <w:gridCol w:w="1417"/>
      </w:tblGrid>
      <w:tr w:rsidR="00E8234C" w14:paraId="65984374" w14:textId="77777777" w:rsidTr="004D64B2">
        <w:tc>
          <w:tcPr>
            <w:tcW w:w="460" w:type="dxa"/>
          </w:tcPr>
          <w:p w14:paraId="39293F56" w14:textId="77777777" w:rsidR="00E8234C" w:rsidRDefault="00E8234C"/>
        </w:tc>
        <w:tc>
          <w:tcPr>
            <w:tcW w:w="5953" w:type="dxa"/>
          </w:tcPr>
          <w:p w14:paraId="7E6F9A02" w14:textId="694AE997" w:rsidR="00E8234C" w:rsidRPr="00E8234C" w:rsidRDefault="004D64B2" w:rsidP="00E8234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Charakterystyka wymagania </w:t>
            </w:r>
            <w:r w:rsidR="00E8234C" w:rsidRPr="00E8234C">
              <w:rPr>
                <w:rFonts w:ascii="Arial" w:hAnsi="Arial" w:cs="Arial"/>
                <w:b/>
                <w:bCs/>
                <w:sz w:val="22"/>
                <w:szCs w:val="22"/>
              </w:rPr>
              <w:t>minimalne</w:t>
            </w:r>
          </w:p>
        </w:tc>
        <w:tc>
          <w:tcPr>
            <w:tcW w:w="5954" w:type="dxa"/>
          </w:tcPr>
          <w:p w14:paraId="1A7441C7" w14:textId="03432165" w:rsidR="00E8234C" w:rsidRPr="00E8234C" w:rsidRDefault="00E8234C" w:rsidP="00E8234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34C">
              <w:rPr>
                <w:rFonts w:ascii="Arial" w:hAnsi="Arial" w:cs="Arial"/>
                <w:b/>
                <w:bCs/>
                <w:sz w:val="22"/>
                <w:szCs w:val="22"/>
              </w:rPr>
              <w:t>Wymagania oferowane przez Wykonawcę</w:t>
            </w:r>
          </w:p>
        </w:tc>
        <w:tc>
          <w:tcPr>
            <w:tcW w:w="1417" w:type="dxa"/>
          </w:tcPr>
          <w:p w14:paraId="790C3D4A" w14:textId="4B83BFAB" w:rsidR="00E8234C" w:rsidRPr="00E8234C" w:rsidRDefault="00E8234C" w:rsidP="00E8234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34C">
              <w:rPr>
                <w:rFonts w:ascii="Arial" w:hAnsi="Arial" w:cs="Arial"/>
                <w:b/>
                <w:bCs/>
                <w:sz w:val="22"/>
                <w:szCs w:val="22"/>
              </w:rPr>
              <w:t>Spełnia (TAK/NIE) – wpisać właściwe</w:t>
            </w:r>
          </w:p>
        </w:tc>
      </w:tr>
      <w:tr w:rsidR="004B0F16" w14:paraId="194D342A" w14:textId="77777777" w:rsidTr="00E97B01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0B7D9" w14:textId="43475278" w:rsidR="004B0F16" w:rsidRDefault="004B0F16" w:rsidP="004B0F16">
            <w:r w:rsidRPr="000626A3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392EC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Zadaniem usługi jest zapewnienie r</w:t>
            </w:r>
            <w:r w:rsidRPr="000626A3">
              <w:rPr>
                <w:rFonts w:ascii="Calibri" w:hAnsi="Calibri" w:cs="Calibri"/>
                <w:sz w:val="20"/>
                <w:szCs w:val="20"/>
              </w:rPr>
              <w:t>eplikacj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Pr="000626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wszystkich </w:t>
            </w:r>
            <w:r w:rsidRPr="000626A3">
              <w:rPr>
                <w:rFonts w:ascii="Calibri" w:hAnsi="Calibri" w:cs="Calibri"/>
                <w:sz w:val="20"/>
                <w:szCs w:val="20"/>
              </w:rPr>
              <w:t xml:space="preserve">bazy danych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systemów dziedzinowych </w:t>
            </w:r>
            <w:r w:rsidRPr="000626A3">
              <w:rPr>
                <w:rFonts w:ascii="Calibri" w:hAnsi="Calibri" w:cs="Calibri"/>
                <w:sz w:val="20"/>
                <w:szCs w:val="20"/>
              </w:rPr>
              <w:t xml:space="preserve">w okresie </w:t>
            </w:r>
            <w:r w:rsidRPr="00361D85">
              <w:rPr>
                <w:rFonts w:ascii="Calibri" w:hAnsi="Calibri" w:cs="Calibri"/>
                <w:sz w:val="20"/>
                <w:szCs w:val="20"/>
              </w:rPr>
              <w:t>gwarancji (Volumen 4TB).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626A3">
              <w:rPr>
                <w:rFonts w:ascii="Calibri" w:hAnsi="Calibri" w:cs="Calibri"/>
                <w:sz w:val="20"/>
                <w:szCs w:val="20"/>
              </w:rPr>
              <w:t>Zadanie polega na skonfigurowaniu mechanizmu utrzymywania bieżącego obrazu bazy danych w usłudze chmurowej (replikacja).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2F982C98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Obraz bazy danych musi być gotowy na przekształcenie w działającą bazę danych bez konieczności odtwarzania kopii zapasowej bazy danych.</w:t>
            </w:r>
          </w:p>
          <w:p w14:paraId="7BF39A48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Obraz bazy danych musi zawierać wszystkie dane ze źródłowej bazy danych do 15min wstecz.</w:t>
            </w:r>
          </w:p>
          <w:p w14:paraId="4B72BEE8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Synchronizacja bazy danych musi opierać się o wbudowane w motor bazy danych mechanizmy synchronizacji.</w:t>
            </w:r>
          </w:p>
          <w:p w14:paraId="0C12A2C6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W sytuacji konieczności przekształcenia w działającą bazę danych utrata danych nie może przekraczać 15minut wstecz, a sam proces przekształcenia nie może trwać dłużej niż 5 minut.</w:t>
            </w:r>
          </w:p>
          <w:p w14:paraId="41FB4D43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Przekształcenie w działającą bazę danych nie może wymagać konieczności modyfikacji danych połączeniowych do bazy danych w aplikacji.</w:t>
            </w:r>
          </w:p>
          <w:p w14:paraId="60CFDA2E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Testowe przekształcenie obrazu bazy danych w działającą bazę danych nie może powodować niedostępności źródłowej bazy danych.</w:t>
            </w:r>
          </w:p>
          <w:p w14:paraId="2279B93B" w14:textId="20F2048F" w:rsidR="004B0F16" w:rsidRDefault="004B0F16" w:rsidP="004B0F16">
            <w:pPr>
              <w:jc w:val="center"/>
            </w:pPr>
            <w:r w:rsidRPr="000626A3">
              <w:rPr>
                <w:rFonts w:ascii="Calibri" w:hAnsi="Calibri" w:cs="Calibri"/>
                <w:sz w:val="20"/>
                <w:szCs w:val="20"/>
              </w:rPr>
              <w:t xml:space="preserve">Z usługą konfiguracji </w:t>
            </w:r>
            <w:r w:rsidRPr="00E55C5F">
              <w:rPr>
                <w:rFonts w:ascii="Calibri" w:hAnsi="Calibri" w:cs="Calibri"/>
                <w:sz w:val="20"/>
                <w:szCs w:val="20"/>
              </w:rPr>
              <w:t>Wykonawca dostarczy chmurową moc obliczeniową wraz z licencjami na okres 36 miesięcy oraz mechanizm monitorowania stanu replikacji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32C3C528" w14:textId="77777777" w:rsidR="004B0F16" w:rsidRDefault="004B0F16" w:rsidP="004B0F16"/>
        </w:tc>
        <w:tc>
          <w:tcPr>
            <w:tcW w:w="1417" w:type="dxa"/>
          </w:tcPr>
          <w:p w14:paraId="1B6F5644" w14:textId="77777777" w:rsidR="004B0F16" w:rsidRDefault="004B0F16" w:rsidP="004B0F16"/>
        </w:tc>
      </w:tr>
      <w:tr w:rsidR="004B0F16" w14:paraId="2E1A97A1" w14:textId="77777777" w:rsidTr="00E97B01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521CD" w14:textId="1005F564" w:rsidR="004B0F16" w:rsidRDefault="004B0F16" w:rsidP="004B0F16">
            <w:r w:rsidRPr="000626A3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3BC7E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 xml:space="preserve">Archiwizacji danych medycznych pochodzących z </w:t>
            </w:r>
            <w:r>
              <w:rPr>
                <w:rFonts w:ascii="Calibri" w:hAnsi="Calibri" w:cs="Calibri"/>
                <w:sz w:val="20"/>
                <w:szCs w:val="20"/>
              </w:rPr>
              <w:t>Systemów dziedzinowych</w:t>
            </w:r>
            <w:r w:rsidRPr="000626A3">
              <w:rPr>
                <w:rFonts w:ascii="Calibri" w:hAnsi="Calibri" w:cs="Calibri"/>
                <w:sz w:val="20"/>
                <w:szCs w:val="20"/>
              </w:rPr>
              <w:t xml:space="preserve"> w bezpiecznej chmurze publicznej zgodnej z protokołem Amazon S3 API, wraz z konfiguracją, wsparciem technicznym i gwarancją dostępności.</w:t>
            </w:r>
          </w:p>
          <w:p w14:paraId="57830C55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lastRenderedPageBreak/>
              <w:t>Usługa musi umożliwiać przechowywanie danych medycznych (DICOM) w chmurze z zachowaniem zgodności z obowiązującymi przepisami prawa.</w:t>
            </w:r>
          </w:p>
          <w:p w14:paraId="597CFB8F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System musi zapewniać pełną kompatybilność z S3 API</w:t>
            </w:r>
          </w:p>
          <w:p w14:paraId="2ACB7F42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Przechowywane dane muszą być dostępne natychmiastowo (Hot Storage) bez potrzeby przywracania z warstwy archiwalnej.</w:t>
            </w:r>
          </w:p>
          <w:p w14:paraId="5BDDC671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Archiwum ma wspierać automatyczne lub ręczne przenoszenie badań do chmury.</w:t>
            </w:r>
          </w:p>
          <w:p w14:paraId="69BEA6C3" w14:textId="6612B11E" w:rsidR="004B0F16" w:rsidRDefault="004B0F16" w:rsidP="004B0F16">
            <w:pPr>
              <w:jc w:val="center"/>
            </w:pPr>
            <w:r w:rsidRPr="000626A3">
              <w:rPr>
                <w:rFonts w:ascii="Calibri" w:hAnsi="Calibri" w:cs="Calibri"/>
                <w:sz w:val="20"/>
                <w:szCs w:val="20"/>
              </w:rPr>
              <w:t>System musi zapewniać możliwość pobrania lub przywrócenia pojedynczych badań lub całych serii</w:t>
            </w:r>
          </w:p>
        </w:tc>
        <w:tc>
          <w:tcPr>
            <w:tcW w:w="5954" w:type="dxa"/>
          </w:tcPr>
          <w:p w14:paraId="52107941" w14:textId="77777777" w:rsidR="004B0F16" w:rsidRDefault="004B0F16" w:rsidP="004B0F16"/>
        </w:tc>
        <w:tc>
          <w:tcPr>
            <w:tcW w:w="1417" w:type="dxa"/>
          </w:tcPr>
          <w:p w14:paraId="5D089A76" w14:textId="77777777" w:rsidR="004B0F16" w:rsidRDefault="004B0F16" w:rsidP="004B0F16"/>
        </w:tc>
      </w:tr>
      <w:tr w:rsidR="004B0F16" w14:paraId="26A58C61" w14:textId="77777777" w:rsidTr="00E97B01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91C34" w14:textId="087AA050" w:rsidR="004B0F16" w:rsidRDefault="004B0F16" w:rsidP="004B0F16">
            <w:r w:rsidRPr="000626A3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4CE70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Wszystkie dane muszą być szyfrowane w spoczynku (AES-256) oraz podczas transmisji (TLS 1.2 lub wyższy).</w:t>
            </w:r>
          </w:p>
          <w:p w14:paraId="2D50936D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 xml:space="preserve">Dostawca musi zapewnić możliwość uruchomienia mechanizmu </w:t>
            </w:r>
            <w:proofErr w:type="spellStart"/>
            <w:r w:rsidRPr="000626A3">
              <w:rPr>
                <w:rFonts w:ascii="Calibri" w:hAnsi="Calibri" w:cs="Calibri"/>
                <w:sz w:val="20"/>
                <w:szCs w:val="20"/>
              </w:rPr>
              <w:t>Immutable</w:t>
            </w:r>
            <w:proofErr w:type="spellEnd"/>
            <w:r w:rsidRPr="000626A3">
              <w:rPr>
                <w:rFonts w:ascii="Calibri" w:hAnsi="Calibri" w:cs="Calibri"/>
                <w:sz w:val="20"/>
                <w:szCs w:val="20"/>
              </w:rPr>
              <w:t xml:space="preserve"> Storage / WORM – uniemożliwiającego modyfikację lub usunięcie danych przez określony czas (ochrona przed </w:t>
            </w:r>
            <w:proofErr w:type="spellStart"/>
            <w:r w:rsidRPr="000626A3">
              <w:rPr>
                <w:rFonts w:ascii="Calibri" w:hAnsi="Calibri" w:cs="Calibri"/>
                <w:sz w:val="20"/>
                <w:szCs w:val="20"/>
              </w:rPr>
              <w:t>ransomware</w:t>
            </w:r>
            <w:proofErr w:type="spellEnd"/>
            <w:r w:rsidRPr="000626A3">
              <w:rPr>
                <w:rFonts w:ascii="Calibri" w:hAnsi="Calibri" w:cs="Calibri"/>
                <w:sz w:val="20"/>
                <w:szCs w:val="20"/>
              </w:rPr>
              <w:t>).</w:t>
            </w:r>
          </w:p>
          <w:p w14:paraId="0734964A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Dane muszą być przechowywane wyłącznie w regionie Unii Europejskiej (np. Frankfurt, Amsterdam, Paryż).</w:t>
            </w:r>
          </w:p>
          <w:p w14:paraId="1DFBA353" w14:textId="0776589F" w:rsidR="004B0F16" w:rsidRDefault="004B0F16" w:rsidP="004B0F16">
            <w:pPr>
              <w:jc w:val="center"/>
            </w:pPr>
            <w:r w:rsidRPr="000626A3">
              <w:rPr>
                <w:rFonts w:ascii="Calibri" w:hAnsi="Calibri" w:cs="Calibri"/>
                <w:sz w:val="20"/>
                <w:szCs w:val="20"/>
              </w:rPr>
              <w:t>Usługa musi umożliwiać replikację danych między regionami (</w:t>
            </w:r>
            <w:proofErr w:type="spellStart"/>
            <w:r w:rsidRPr="000626A3">
              <w:rPr>
                <w:rFonts w:ascii="Calibri" w:hAnsi="Calibri" w:cs="Calibri"/>
                <w:sz w:val="20"/>
                <w:szCs w:val="20"/>
              </w:rPr>
              <w:t>geo-redundancy</w:t>
            </w:r>
            <w:proofErr w:type="spellEnd"/>
            <w:r w:rsidRPr="000626A3">
              <w:rPr>
                <w:rFonts w:ascii="Calibri" w:hAnsi="Calibri" w:cs="Calibri"/>
                <w:sz w:val="20"/>
                <w:szCs w:val="20"/>
              </w:rPr>
              <w:t>) w celu zapewnienia odporności na awarie.</w:t>
            </w:r>
          </w:p>
        </w:tc>
        <w:tc>
          <w:tcPr>
            <w:tcW w:w="5954" w:type="dxa"/>
          </w:tcPr>
          <w:p w14:paraId="59B575FA" w14:textId="77777777" w:rsidR="004B0F16" w:rsidRDefault="004B0F16" w:rsidP="004B0F16"/>
        </w:tc>
        <w:tc>
          <w:tcPr>
            <w:tcW w:w="1417" w:type="dxa"/>
          </w:tcPr>
          <w:p w14:paraId="217BD4F5" w14:textId="77777777" w:rsidR="004B0F16" w:rsidRDefault="004B0F16" w:rsidP="004B0F16"/>
        </w:tc>
      </w:tr>
      <w:tr w:rsidR="004B0F16" w14:paraId="289B006D" w14:textId="77777777" w:rsidTr="00E97B01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1D88C" w14:textId="47730B62" w:rsidR="004B0F16" w:rsidRDefault="004B0F16" w:rsidP="004B0F16">
            <w:r w:rsidRPr="000626A3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88166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Dostępność usługi (SLA) – co najmniej 99,9% miesięcznie.</w:t>
            </w:r>
          </w:p>
          <w:p w14:paraId="46D8F4E1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Średnie opóźnienie dostępu do danych – nie więcej niż 100 ms.</w:t>
            </w:r>
          </w:p>
          <w:p w14:paraId="0C3738E1" w14:textId="77777777" w:rsidR="004B0F16" w:rsidRPr="000626A3" w:rsidRDefault="004B0F16" w:rsidP="004B0F16">
            <w:pPr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Przepustowość połączenia powinna umożliwiać transfer plików DICOM o wielkości do 2 GB bez błędów transmisji.</w:t>
            </w:r>
          </w:p>
          <w:p w14:paraId="1AFD3FE3" w14:textId="3D8DBABF" w:rsidR="004B0F16" w:rsidRDefault="004B0F16" w:rsidP="004B0F16">
            <w:pPr>
              <w:jc w:val="center"/>
            </w:pPr>
            <w:r w:rsidRPr="000626A3">
              <w:rPr>
                <w:rFonts w:ascii="Calibri" w:hAnsi="Calibri" w:cs="Calibri"/>
                <w:sz w:val="20"/>
                <w:szCs w:val="20"/>
              </w:rPr>
              <w:t>Usługa nie może naliczać opłat za: pobieranie danych (</w:t>
            </w:r>
            <w:proofErr w:type="spellStart"/>
            <w:r w:rsidRPr="000626A3">
              <w:rPr>
                <w:rFonts w:ascii="Calibri" w:hAnsi="Calibri" w:cs="Calibri"/>
                <w:sz w:val="20"/>
                <w:szCs w:val="20"/>
              </w:rPr>
              <w:t>egress</w:t>
            </w:r>
            <w:proofErr w:type="spellEnd"/>
            <w:r w:rsidRPr="000626A3">
              <w:rPr>
                <w:rFonts w:ascii="Calibri" w:hAnsi="Calibri" w:cs="Calibri"/>
                <w:sz w:val="20"/>
                <w:szCs w:val="20"/>
              </w:rPr>
              <w:t>), liczbę zapytań API, operacje typu PUT/GET/</w:t>
            </w:r>
            <w:proofErr w:type="spellStart"/>
            <w:r w:rsidRPr="000626A3">
              <w:rPr>
                <w:rFonts w:ascii="Calibri" w:hAnsi="Calibri" w:cs="Calibri"/>
                <w:sz w:val="20"/>
                <w:szCs w:val="20"/>
              </w:rPr>
              <w:t>DELETElub</w:t>
            </w:r>
            <w:proofErr w:type="spellEnd"/>
            <w:r w:rsidRPr="000626A3">
              <w:rPr>
                <w:rFonts w:ascii="Calibri" w:hAnsi="Calibri" w:cs="Calibri"/>
                <w:sz w:val="20"/>
                <w:szCs w:val="20"/>
              </w:rPr>
              <w:t xml:space="preserve"> koszty te będą w okresie 36 miesięcy na bieżąco pokrywane przez Wykonawcę.</w:t>
            </w:r>
          </w:p>
        </w:tc>
        <w:tc>
          <w:tcPr>
            <w:tcW w:w="5954" w:type="dxa"/>
          </w:tcPr>
          <w:p w14:paraId="0088B6D1" w14:textId="77777777" w:rsidR="004B0F16" w:rsidRDefault="004B0F16" w:rsidP="004B0F16"/>
        </w:tc>
        <w:tc>
          <w:tcPr>
            <w:tcW w:w="1417" w:type="dxa"/>
          </w:tcPr>
          <w:p w14:paraId="17DA311E" w14:textId="77777777" w:rsidR="004B0F16" w:rsidRDefault="004B0F16" w:rsidP="004B0F16"/>
        </w:tc>
      </w:tr>
      <w:tr w:rsidR="004B0F16" w14:paraId="2E558D81" w14:textId="77777777" w:rsidTr="00E97B01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E1A8" w14:textId="5F36B069" w:rsidR="004B0F16" w:rsidRDefault="004B0F16" w:rsidP="004B0F16">
            <w:r w:rsidRPr="000626A3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A9CC3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Dostawca musi udostępnić portal administracyjny / konsolę webową z możliwością:</w:t>
            </w:r>
          </w:p>
          <w:p w14:paraId="27FCCA5F" w14:textId="77777777" w:rsidR="004B0F16" w:rsidRPr="000626A3" w:rsidRDefault="004B0F16" w:rsidP="004B0F16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przeglądania zużycia przestrzeni</w:t>
            </w:r>
          </w:p>
          <w:p w14:paraId="27EC56B6" w14:textId="77777777" w:rsidR="004B0F16" w:rsidRPr="000626A3" w:rsidRDefault="004B0F16" w:rsidP="004B0F16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 xml:space="preserve">tworzenia i zarządzania </w:t>
            </w:r>
            <w:proofErr w:type="spellStart"/>
            <w:r w:rsidRPr="000626A3">
              <w:rPr>
                <w:rFonts w:ascii="Calibri" w:hAnsi="Calibri" w:cs="Calibri"/>
                <w:sz w:val="20"/>
                <w:szCs w:val="20"/>
              </w:rPr>
              <w:t>bucketami</w:t>
            </w:r>
            <w:proofErr w:type="spellEnd"/>
          </w:p>
          <w:p w14:paraId="30C74070" w14:textId="77777777" w:rsidR="004B0F16" w:rsidRPr="000626A3" w:rsidRDefault="004B0F16" w:rsidP="004B0F16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generowania kluczy API i polityk dostępu</w:t>
            </w:r>
          </w:p>
          <w:p w14:paraId="256DD807" w14:textId="66FFC4A1" w:rsidR="004B0F16" w:rsidRDefault="004B0F16" w:rsidP="004B0F16">
            <w:pPr>
              <w:jc w:val="center"/>
            </w:pPr>
            <w:r w:rsidRPr="000626A3">
              <w:rPr>
                <w:rFonts w:ascii="Calibri" w:hAnsi="Calibri" w:cs="Calibri"/>
                <w:sz w:val="20"/>
                <w:szCs w:val="20"/>
              </w:rPr>
              <w:t>przeglądania logów operacji</w:t>
            </w:r>
          </w:p>
        </w:tc>
        <w:tc>
          <w:tcPr>
            <w:tcW w:w="5954" w:type="dxa"/>
          </w:tcPr>
          <w:p w14:paraId="020550E6" w14:textId="77777777" w:rsidR="004B0F16" w:rsidRDefault="004B0F16" w:rsidP="004B0F16"/>
        </w:tc>
        <w:tc>
          <w:tcPr>
            <w:tcW w:w="1417" w:type="dxa"/>
          </w:tcPr>
          <w:p w14:paraId="20FD3E8E" w14:textId="77777777" w:rsidR="004B0F16" w:rsidRDefault="004B0F16" w:rsidP="004B0F16"/>
        </w:tc>
      </w:tr>
      <w:tr w:rsidR="004B0F16" w14:paraId="3A844752" w14:textId="77777777" w:rsidTr="00E97B01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0B970" w14:textId="64F5097E" w:rsidR="004B0F16" w:rsidRDefault="004B0F16" w:rsidP="004B0F16">
            <w:r w:rsidRPr="000626A3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A1F7C" w14:textId="77777777" w:rsidR="004B0F16" w:rsidRPr="000626A3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Dostęp do konsoli musi być chroniony mechanizmami MFA (Multi-</w:t>
            </w:r>
            <w:proofErr w:type="spellStart"/>
            <w:r w:rsidRPr="000626A3">
              <w:rPr>
                <w:rFonts w:ascii="Calibri" w:hAnsi="Calibri" w:cs="Calibri"/>
                <w:sz w:val="20"/>
                <w:szCs w:val="20"/>
              </w:rPr>
              <w:t>Factor</w:t>
            </w:r>
            <w:proofErr w:type="spellEnd"/>
            <w:r w:rsidRPr="000626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626A3">
              <w:rPr>
                <w:rFonts w:ascii="Calibri" w:hAnsi="Calibri" w:cs="Calibri"/>
                <w:sz w:val="20"/>
                <w:szCs w:val="20"/>
              </w:rPr>
              <w:t>Authentication</w:t>
            </w:r>
            <w:proofErr w:type="spellEnd"/>
            <w:r w:rsidRPr="000626A3">
              <w:rPr>
                <w:rFonts w:ascii="Calibri" w:hAnsi="Calibri" w:cs="Calibri"/>
                <w:sz w:val="20"/>
                <w:szCs w:val="20"/>
              </w:rPr>
              <w:t>).</w:t>
            </w:r>
          </w:p>
          <w:p w14:paraId="08B6E29F" w14:textId="1316A36E" w:rsidR="004B0F16" w:rsidRDefault="004B0F16" w:rsidP="004B0F16">
            <w:pPr>
              <w:jc w:val="center"/>
            </w:pPr>
            <w:r w:rsidRPr="000626A3">
              <w:rPr>
                <w:rFonts w:ascii="Calibri" w:hAnsi="Calibri" w:cs="Calibri"/>
                <w:sz w:val="20"/>
                <w:szCs w:val="20"/>
              </w:rPr>
              <w:t xml:space="preserve">Dane o wykorzystaniu przestrzeni muszą być dostępne w formacie umożliwiającym integrację z systemami monitoringu (np. </w:t>
            </w:r>
            <w:proofErr w:type="spellStart"/>
            <w:r w:rsidRPr="000626A3">
              <w:rPr>
                <w:rFonts w:ascii="Calibri" w:hAnsi="Calibri" w:cs="Calibri"/>
                <w:sz w:val="20"/>
                <w:szCs w:val="20"/>
              </w:rPr>
              <w:t>Zabbix</w:t>
            </w:r>
            <w:proofErr w:type="spellEnd"/>
            <w:r w:rsidRPr="000626A3">
              <w:rPr>
                <w:rFonts w:ascii="Calibri" w:hAnsi="Calibri" w:cs="Calibri"/>
                <w:sz w:val="20"/>
                <w:szCs w:val="20"/>
              </w:rPr>
              <w:t xml:space="preserve">, Power BI, </w:t>
            </w:r>
            <w:proofErr w:type="spellStart"/>
            <w:r w:rsidRPr="000626A3">
              <w:rPr>
                <w:rFonts w:ascii="Calibri" w:hAnsi="Calibri" w:cs="Calibri"/>
                <w:sz w:val="20"/>
                <w:szCs w:val="20"/>
              </w:rPr>
              <w:t>Grafana</w:t>
            </w:r>
            <w:proofErr w:type="spellEnd"/>
            <w:r w:rsidRPr="000626A3">
              <w:rPr>
                <w:rFonts w:ascii="Calibri" w:hAnsi="Calibri" w:cs="Calibri"/>
                <w:sz w:val="20"/>
                <w:szCs w:val="20"/>
              </w:rPr>
              <w:t>).</w:t>
            </w:r>
          </w:p>
        </w:tc>
        <w:tc>
          <w:tcPr>
            <w:tcW w:w="5954" w:type="dxa"/>
          </w:tcPr>
          <w:p w14:paraId="6B209493" w14:textId="77777777" w:rsidR="004B0F16" w:rsidRDefault="004B0F16" w:rsidP="004B0F16"/>
        </w:tc>
        <w:tc>
          <w:tcPr>
            <w:tcW w:w="1417" w:type="dxa"/>
          </w:tcPr>
          <w:p w14:paraId="5BF0A8B0" w14:textId="77777777" w:rsidR="004B0F16" w:rsidRDefault="004B0F16" w:rsidP="004B0F16"/>
        </w:tc>
      </w:tr>
      <w:tr w:rsidR="004B0F16" w14:paraId="182B7655" w14:textId="77777777" w:rsidTr="00E97B01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2BF34" w14:textId="1841FA36" w:rsidR="004B0F16" w:rsidRDefault="004B0F16" w:rsidP="004B0F16"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895E7" w14:textId="77777777" w:rsidR="004B0F16" w:rsidRPr="000626A3" w:rsidRDefault="004B0F16" w:rsidP="004B0F16">
            <w:pPr>
              <w:tabs>
                <w:tab w:val="left" w:pos="2315"/>
              </w:tabs>
              <w:ind w:right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626A3">
              <w:rPr>
                <w:rFonts w:ascii="Calibri" w:hAnsi="Calibri" w:cs="Calibri"/>
                <w:sz w:val="20"/>
                <w:szCs w:val="20"/>
              </w:rPr>
              <w:t>Zamawiający wymaga wykonania i dostarczenia kompleksowej dokumentacji powykonawczej dla dostarczonej i uruchomionej infrastruktury IT, stanowiącej podstawę do jej bieżącego utrzymania, dalszego rozwoju oraz na potrzeby ewentualnych kontroli i audytów.</w:t>
            </w:r>
          </w:p>
          <w:p w14:paraId="2FDE0050" w14:textId="4E0B7FCE" w:rsidR="004B0F16" w:rsidRDefault="004B0F16" w:rsidP="004B0F16">
            <w:pPr>
              <w:jc w:val="center"/>
            </w:pPr>
            <w:r w:rsidRPr="000626A3">
              <w:rPr>
                <w:rFonts w:ascii="Calibri" w:hAnsi="Calibri" w:cs="Calibri"/>
                <w:sz w:val="20"/>
                <w:szCs w:val="20"/>
              </w:rPr>
              <w:t>Dokumentacja powinna odzwierciedlać rzeczywisty stan infrastruktury po zakończeniu wdrożenia i obejmować opis architektury rozwiązania zarówno od strony logicznej, jak i fizycznej. W dokumentacji należy wskazać przeznaczenie poszczególnych komponentów, ich podstawowe parametry techniczne, zastosowane mechanizmy zapewniające wysoką dostępność oraz ciągłość pracy systemów, a także ogólne zasady segmentacji ruchu sieciowego i adresacji IP. Dokumentacja powinna również zawierać ogólny opis wdrożonych rozwiązań w zakresie bezpieczeństwa, monitoringu oraz tworzenia kopii zapasowych, bez ujawniania informacji wrażliwych.</w:t>
            </w:r>
          </w:p>
        </w:tc>
        <w:tc>
          <w:tcPr>
            <w:tcW w:w="5954" w:type="dxa"/>
          </w:tcPr>
          <w:p w14:paraId="72BECF68" w14:textId="77777777" w:rsidR="004B0F16" w:rsidRDefault="004B0F16" w:rsidP="004B0F16"/>
        </w:tc>
        <w:tc>
          <w:tcPr>
            <w:tcW w:w="1417" w:type="dxa"/>
          </w:tcPr>
          <w:p w14:paraId="1D27BA86" w14:textId="77777777" w:rsidR="004B0F16" w:rsidRDefault="004B0F16" w:rsidP="004B0F16"/>
        </w:tc>
      </w:tr>
      <w:tr w:rsidR="004B0F16" w14:paraId="495D6D09" w14:textId="77777777" w:rsidTr="00E97B01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610DB" w14:textId="7DDCF99A" w:rsidR="004B0F16" w:rsidRDefault="004B0F16" w:rsidP="004B0F16">
            <w:r w:rsidRPr="0050022E">
              <w:rPr>
                <w:rFonts w:ascii="Calibri" w:eastAsia="Times New Roman" w:hAnsi="Calibri" w:cs="Calibri"/>
                <w:sz w:val="20"/>
                <w:szCs w:val="20"/>
              </w:rPr>
              <w:t>8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073DF" w14:textId="77777777" w:rsidR="004B0F16" w:rsidRPr="0050022E" w:rsidRDefault="004B0F16" w:rsidP="004B0F16">
            <w:pPr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50022E">
              <w:rPr>
                <w:rFonts w:ascii="Calibri" w:hAnsi="Calibri" w:cs="Calibri"/>
                <w:sz w:val="20"/>
                <w:szCs w:val="20"/>
              </w:rPr>
              <w:t xml:space="preserve">W zakresie </w:t>
            </w:r>
            <w:proofErr w:type="spellStart"/>
            <w:r w:rsidRPr="0050022E">
              <w:rPr>
                <w:rFonts w:ascii="Calibri" w:hAnsi="Calibri" w:cs="Calibri"/>
                <w:sz w:val="20"/>
                <w:szCs w:val="20"/>
              </w:rPr>
              <w:t>zmigrowanych</w:t>
            </w:r>
            <w:proofErr w:type="spellEnd"/>
            <w:r w:rsidRPr="0050022E">
              <w:rPr>
                <w:rFonts w:ascii="Calibri" w:hAnsi="Calibri" w:cs="Calibri"/>
                <w:sz w:val="20"/>
                <w:szCs w:val="20"/>
              </w:rPr>
              <w:t xml:space="preserve"> baz danych wymagane jest wsparcie w zakresie:</w:t>
            </w:r>
          </w:p>
          <w:p w14:paraId="0C49ED49" w14:textId="77777777" w:rsidR="004B0F16" w:rsidRPr="0050022E" w:rsidRDefault="004B0F16" w:rsidP="004B0F16">
            <w:pPr>
              <w:numPr>
                <w:ilvl w:val="0"/>
                <w:numId w:val="4"/>
              </w:numPr>
              <w:suppressAutoHyphens/>
              <w:autoSpaceDN w:val="0"/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50022E">
              <w:rPr>
                <w:rFonts w:ascii="Calibri" w:hAnsi="Calibri" w:cs="Calibri"/>
                <w:sz w:val="20"/>
                <w:szCs w:val="20"/>
              </w:rPr>
              <w:t xml:space="preserve">Aktualizacje systemów operacyjnych baz danych </w:t>
            </w:r>
          </w:p>
          <w:p w14:paraId="0B20B0A3" w14:textId="77777777" w:rsidR="004B0F16" w:rsidRPr="0050022E" w:rsidRDefault="004B0F16" w:rsidP="004B0F16">
            <w:pPr>
              <w:numPr>
                <w:ilvl w:val="0"/>
                <w:numId w:val="4"/>
              </w:numPr>
              <w:suppressAutoHyphens/>
              <w:autoSpaceDN w:val="0"/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50022E">
              <w:rPr>
                <w:rFonts w:ascii="Calibri" w:hAnsi="Calibri" w:cs="Calibri"/>
                <w:sz w:val="20"/>
                <w:szCs w:val="20"/>
              </w:rPr>
              <w:t xml:space="preserve">Aktualizacje silnika bazy danych  </w:t>
            </w:r>
          </w:p>
          <w:p w14:paraId="002509A7" w14:textId="77777777" w:rsidR="004B0F16" w:rsidRPr="0050022E" w:rsidRDefault="004B0F16" w:rsidP="004B0F16">
            <w:pPr>
              <w:numPr>
                <w:ilvl w:val="0"/>
                <w:numId w:val="4"/>
              </w:numPr>
              <w:suppressAutoHyphens/>
              <w:autoSpaceDN w:val="0"/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50022E">
              <w:rPr>
                <w:rFonts w:ascii="Calibri" w:hAnsi="Calibri" w:cs="Calibri"/>
                <w:sz w:val="20"/>
                <w:szCs w:val="20"/>
              </w:rPr>
              <w:t xml:space="preserve">Aktualizacje i instalacje łatek bezpieczeństwa. </w:t>
            </w:r>
          </w:p>
          <w:p w14:paraId="27EFF422" w14:textId="77777777" w:rsidR="004B0F16" w:rsidRPr="0050022E" w:rsidRDefault="004B0F16" w:rsidP="004B0F16">
            <w:pPr>
              <w:numPr>
                <w:ilvl w:val="0"/>
                <w:numId w:val="4"/>
              </w:numPr>
              <w:suppressAutoHyphens/>
              <w:autoSpaceDN w:val="0"/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50022E">
              <w:rPr>
                <w:rFonts w:ascii="Calibri" w:hAnsi="Calibri" w:cs="Calibri"/>
                <w:sz w:val="20"/>
                <w:szCs w:val="20"/>
              </w:rPr>
              <w:t xml:space="preserve">Monitoring i cykliczne testy wydajności mające na celu identyfikowanie i usuwanie spowolnień i problemów. </w:t>
            </w:r>
          </w:p>
          <w:p w14:paraId="3B757320" w14:textId="77777777" w:rsidR="004B0F16" w:rsidRPr="0050022E" w:rsidRDefault="004B0F16" w:rsidP="004B0F16">
            <w:pPr>
              <w:numPr>
                <w:ilvl w:val="0"/>
                <w:numId w:val="4"/>
              </w:numPr>
              <w:suppressAutoHyphens/>
              <w:autoSpaceDN w:val="0"/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50022E">
              <w:rPr>
                <w:rFonts w:ascii="Calibri" w:hAnsi="Calibri" w:cs="Calibri"/>
                <w:sz w:val="20"/>
                <w:szCs w:val="20"/>
              </w:rPr>
              <w:t xml:space="preserve">Strojenie baz danych. </w:t>
            </w:r>
          </w:p>
          <w:p w14:paraId="23CE7263" w14:textId="77777777" w:rsidR="004B0F16" w:rsidRPr="0050022E" w:rsidRDefault="004B0F16" w:rsidP="004B0F16">
            <w:pPr>
              <w:numPr>
                <w:ilvl w:val="0"/>
                <w:numId w:val="4"/>
              </w:numPr>
              <w:suppressAutoHyphens/>
              <w:autoSpaceDN w:val="0"/>
              <w:ind w:right="280"/>
              <w:rPr>
                <w:rFonts w:ascii="Calibri" w:hAnsi="Calibri" w:cs="Calibri"/>
                <w:sz w:val="20"/>
                <w:szCs w:val="20"/>
              </w:rPr>
            </w:pPr>
            <w:r w:rsidRPr="0050022E">
              <w:rPr>
                <w:rFonts w:ascii="Calibri" w:hAnsi="Calibri" w:cs="Calibri"/>
                <w:sz w:val="20"/>
                <w:szCs w:val="20"/>
              </w:rPr>
              <w:t xml:space="preserve">Usuwanie awarii bazy danych. </w:t>
            </w:r>
          </w:p>
          <w:p w14:paraId="3E91903A" w14:textId="4206F8B0" w:rsidR="004B0F16" w:rsidRDefault="004B0F16" w:rsidP="004B0F16">
            <w:pPr>
              <w:jc w:val="center"/>
            </w:pPr>
            <w:r w:rsidRPr="0050022E">
              <w:rPr>
                <w:rFonts w:ascii="Calibri" w:hAnsi="Calibri" w:cs="Calibri"/>
                <w:sz w:val="20"/>
                <w:szCs w:val="20"/>
              </w:rPr>
              <w:t>Testy odtworzeniowe baz danych min. 1 raz w miesiącu.</w:t>
            </w:r>
          </w:p>
        </w:tc>
        <w:tc>
          <w:tcPr>
            <w:tcW w:w="5954" w:type="dxa"/>
          </w:tcPr>
          <w:p w14:paraId="7156E5C5" w14:textId="77777777" w:rsidR="004B0F16" w:rsidRDefault="004B0F16" w:rsidP="004B0F16"/>
        </w:tc>
        <w:tc>
          <w:tcPr>
            <w:tcW w:w="1417" w:type="dxa"/>
          </w:tcPr>
          <w:p w14:paraId="2DB9BB91" w14:textId="77777777" w:rsidR="004B0F16" w:rsidRDefault="004B0F16" w:rsidP="004B0F16"/>
        </w:tc>
      </w:tr>
      <w:tr w:rsidR="004B0F16" w14:paraId="358EEDEA" w14:textId="77777777" w:rsidTr="00E97B01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53E48" w14:textId="4C9411F1" w:rsidR="004B0F16" w:rsidRDefault="004B0F16" w:rsidP="004B0F16">
            <w:r w:rsidRPr="00584896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13300" w14:textId="77777777" w:rsidR="004B0F16" w:rsidRPr="00584896" w:rsidRDefault="004B0F16" w:rsidP="004B0F16">
            <w:pPr>
              <w:rPr>
                <w:rFonts w:ascii="Calibri" w:hAnsi="Calibri" w:cs="Calibri"/>
                <w:sz w:val="20"/>
                <w:szCs w:val="20"/>
              </w:rPr>
            </w:pPr>
            <w:r w:rsidRPr="00584896">
              <w:rPr>
                <w:rFonts w:ascii="Calibri" w:hAnsi="Calibri" w:cs="Calibri"/>
                <w:sz w:val="20"/>
                <w:szCs w:val="20"/>
              </w:rPr>
              <w:t>Serwis i Wsparcie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628E68C8" w14:textId="77777777" w:rsidR="004B0F16" w:rsidRPr="00584896" w:rsidRDefault="004B0F16" w:rsidP="004B0F16">
            <w:pPr>
              <w:pStyle w:val="Akapitzlist"/>
              <w:numPr>
                <w:ilvl w:val="0"/>
                <w:numId w:val="5"/>
              </w:numPr>
              <w:spacing w:line="279" w:lineRule="auto"/>
              <w:rPr>
                <w:rFonts w:ascii="Calibri" w:hAnsi="Calibri" w:cs="Calibri"/>
                <w:sz w:val="20"/>
                <w:szCs w:val="20"/>
              </w:rPr>
            </w:pPr>
            <w:r w:rsidRPr="00584896">
              <w:rPr>
                <w:rFonts w:ascii="Calibri" w:hAnsi="Calibri" w:cs="Calibri"/>
                <w:sz w:val="20"/>
                <w:szCs w:val="20"/>
              </w:rPr>
              <w:t>Helpdesk: Portal wsparcia dostępny w trybie 24/7/365.</w:t>
            </w:r>
          </w:p>
          <w:p w14:paraId="0C569C12" w14:textId="77777777" w:rsidR="004B0F16" w:rsidRPr="00584896" w:rsidRDefault="004B0F16" w:rsidP="004B0F16">
            <w:pPr>
              <w:pStyle w:val="Akapitzlist"/>
              <w:numPr>
                <w:ilvl w:val="0"/>
                <w:numId w:val="5"/>
              </w:numPr>
              <w:spacing w:line="279" w:lineRule="auto"/>
              <w:rPr>
                <w:rFonts w:ascii="Calibri" w:hAnsi="Calibri" w:cs="Calibri"/>
                <w:sz w:val="20"/>
                <w:szCs w:val="20"/>
              </w:rPr>
            </w:pPr>
            <w:r w:rsidRPr="00584896">
              <w:rPr>
                <w:rFonts w:ascii="Calibri" w:hAnsi="Calibri" w:cs="Calibri"/>
                <w:sz w:val="20"/>
                <w:szCs w:val="20"/>
              </w:rPr>
              <w:lastRenderedPageBreak/>
              <w:t>Czasy reakcji: Podjęcie czynności serwisowych w ciągu 1 dnia roboczego; przywrócenie funkcjonalności (naprawa) w ciągu 5 dni roboczych.</w:t>
            </w:r>
          </w:p>
          <w:p w14:paraId="1812F1F4" w14:textId="71AE2917" w:rsidR="004B0F16" w:rsidRDefault="004B0F16" w:rsidP="004B0F16">
            <w:pPr>
              <w:jc w:val="center"/>
            </w:pPr>
            <w:r w:rsidRPr="00584896">
              <w:rPr>
                <w:rFonts w:ascii="Calibri" w:hAnsi="Calibri" w:cs="Calibri"/>
                <w:sz w:val="20"/>
                <w:szCs w:val="20"/>
              </w:rPr>
              <w:t>Jeśli zgłoszenie następuje w dniu poprzedzającym dzień wolny od pracy po godz. 16.00, czas naprawy liczony jest od następnego dnia roboczego; Helpdesk telefoniczny dostępny od poniedziałku do piątku w czasie godzin roboczych 8.00-16.00 /wyłączając dni ustawowo wolne od pracy.</w:t>
            </w:r>
          </w:p>
        </w:tc>
        <w:tc>
          <w:tcPr>
            <w:tcW w:w="5954" w:type="dxa"/>
          </w:tcPr>
          <w:p w14:paraId="29D8CE0C" w14:textId="77777777" w:rsidR="004B0F16" w:rsidRDefault="004B0F16" w:rsidP="004B0F16"/>
        </w:tc>
        <w:tc>
          <w:tcPr>
            <w:tcW w:w="1417" w:type="dxa"/>
          </w:tcPr>
          <w:p w14:paraId="7D6562DF" w14:textId="77777777" w:rsidR="004B0F16" w:rsidRDefault="004B0F16" w:rsidP="004B0F16"/>
        </w:tc>
      </w:tr>
    </w:tbl>
    <w:p w14:paraId="271FAF3F" w14:textId="77777777" w:rsidR="004B0F16" w:rsidRPr="004B0F16" w:rsidRDefault="004B0F16" w:rsidP="004B0F16">
      <w:pPr>
        <w:numPr>
          <w:ilvl w:val="0"/>
          <w:numId w:val="2"/>
        </w:numPr>
        <w:spacing w:after="0" w:line="240" w:lineRule="auto"/>
        <w:jc w:val="both"/>
        <w:rPr>
          <w:rFonts w:ascii="Calibri" w:eastAsia="Aptos" w:hAnsi="Calibri" w:cs="Calibri"/>
          <w:kern w:val="0"/>
          <w:sz w:val="20"/>
          <w:szCs w:val="20"/>
          <w14:ligatures w14:val="none"/>
        </w:rPr>
      </w:pPr>
      <w:r w:rsidRPr="004B0F16">
        <w:rPr>
          <w:rFonts w:ascii="Calibri" w:eastAsia="Aptos" w:hAnsi="Calibri" w:cs="Calibri"/>
          <w:kern w:val="0"/>
          <w:sz w:val="20"/>
          <w:szCs w:val="20"/>
          <w14:ligatures w14:val="none"/>
        </w:rPr>
        <w:t>Wykonawca oświadcza, iż dostarczony produkt jest zgodny z obowiązującymi normami i będzie posiadać wymagane atesty, certyfikaty, aprobaty techniczne, deklaracje zgodności, świadectwa bezpieczeństwa, homologacje niezbędnie dla tego typu usługi.</w:t>
      </w:r>
    </w:p>
    <w:p w14:paraId="0592C54E" w14:textId="77777777" w:rsidR="004B0F16" w:rsidRPr="004B0F16" w:rsidRDefault="004B0F16" w:rsidP="004B0F16">
      <w:pPr>
        <w:numPr>
          <w:ilvl w:val="0"/>
          <w:numId w:val="2"/>
        </w:numPr>
        <w:spacing w:after="0" w:line="240" w:lineRule="auto"/>
        <w:jc w:val="both"/>
        <w:rPr>
          <w:rFonts w:ascii="Calibri" w:eastAsia="Aptos" w:hAnsi="Calibri" w:cs="Calibri"/>
          <w:kern w:val="0"/>
          <w:sz w:val="20"/>
          <w:szCs w:val="20"/>
          <w14:ligatures w14:val="none"/>
        </w:rPr>
      </w:pPr>
      <w:r w:rsidRPr="004B0F16">
        <w:rPr>
          <w:rFonts w:ascii="Calibri" w:eastAsia="Aptos" w:hAnsi="Calibri" w:cs="Calibri"/>
          <w:kern w:val="0"/>
          <w:sz w:val="20"/>
          <w:szCs w:val="20"/>
          <w14:ligatures w14:val="none"/>
        </w:rPr>
        <w:t>Wykonawca oświadcza, że usługa stanowiąca przedmiot zamówienia lub jej komponenty nie była przedmiotem wcześniejszych projektów i zobowiązań.</w:t>
      </w:r>
    </w:p>
    <w:p w14:paraId="6AA7E466" w14:textId="77777777" w:rsidR="004B0F16" w:rsidRPr="004B0F16" w:rsidRDefault="004B0F16" w:rsidP="004B0F16">
      <w:pPr>
        <w:numPr>
          <w:ilvl w:val="0"/>
          <w:numId w:val="2"/>
        </w:numPr>
        <w:spacing w:after="0" w:line="240" w:lineRule="auto"/>
        <w:jc w:val="both"/>
        <w:rPr>
          <w:rFonts w:ascii="Calibri" w:eastAsia="Aptos" w:hAnsi="Calibri" w:cs="Calibri"/>
          <w:kern w:val="0"/>
          <w:sz w:val="20"/>
          <w:szCs w:val="20"/>
          <w14:ligatures w14:val="none"/>
        </w:rPr>
      </w:pPr>
      <w:r w:rsidRPr="004B0F16">
        <w:rPr>
          <w:rFonts w:ascii="Calibri" w:eastAsia="Aptos" w:hAnsi="Calibri" w:cs="Calibri"/>
          <w:kern w:val="0"/>
          <w:sz w:val="20"/>
          <w:szCs w:val="20"/>
          <w14:ligatures w14:val="none"/>
        </w:rPr>
        <w:t xml:space="preserve">Oferowany przez Wykonawcę produkt musi odpowiadać minimalnym parametrom technicznym, jakościowym i funkcjonalnym oraz nie może być gorszy technicznie i jakościowo niż podano w opisie przedmiotu zamówienia a zastosowanie w żaden sposób nie wpłynie negatywnie na prawidłowe działanie rozwiązań technicznych/funkcjonalnych przewidzianych w opisanych parametrach. </w:t>
      </w:r>
    </w:p>
    <w:p w14:paraId="45F21D8F" w14:textId="77777777" w:rsidR="004B0F16" w:rsidRPr="004B0F16" w:rsidRDefault="004B0F16" w:rsidP="004B0F16">
      <w:pPr>
        <w:numPr>
          <w:ilvl w:val="0"/>
          <w:numId w:val="2"/>
        </w:numPr>
        <w:spacing w:after="0" w:line="240" w:lineRule="auto"/>
        <w:jc w:val="both"/>
        <w:rPr>
          <w:rFonts w:ascii="Calibri" w:eastAsia="Aptos" w:hAnsi="Calibri" w:cs="Calibri"/>
          <w:kern w:val="0"/>
          <w:sz w:val="20"/>
          <w:szCs w:val="20"/>
          <w14:ligatures w14:val="none"/>
        </w:rPr>
      </w:pPr>
      <w:r w:rsidRPr="004B0F16">
        <w:rPr>
          <w:rFonts w:ascii="Calibri" w:eastAsia="Aptos" w:hAnsi="Calibri" w:cs="Calibri"/>
          <w:kern w:val="0"/>
          <w:sz w:val="20"/>
          <w:szCs w:val="20"/>
          <w14:ligatures w14:val="none"/>
        </w:rPr>
        <w:t xml:space="preserve">Wykonawca zobowiązany jest przekazać Zamawiającemu najpóźniej na 5 dni przed zgłoszeniem gotowości do odbioru przedmiotu zamówienia pełną dokumentację, m. in. karty gwarancyjne, instrukcje obsługi, aprobaty techniczne, certyfikaty, itp. oraz wszelkie niezbędne dokumenty wymagane przy tego typu produktach, wskazane w opisie przedmiotu zamówienia w poszczególnych wierszach tabeli. </w:t>
      </w:r>
    </w:p>
    <w:p w14:paraId="7464BE21" w14:textId="77777777" w:rsidR="004B0F16" w:rsidRPr="004B0F16" w:rsidRDefault="004B0F16" w:rsidP="004B0F16">
      <w:pPr>
        <w:numPr>
          <w:ilvl w:val="0"/>
          <w:numId w:val="2"/>
        </w:numPr>
        <w:spacing w:after="0" w:line="240" w:lineRule="auto"/>
        <w:jc w:val="both"/>
        <w:rPr>
          <w:rFonts w:ascii="Calibri" w:eastAsia="Aptos" w:hAnsi="Calibri" w:cs="Calibri"/>
          <w:kern w:val="0"/>
          <w:sz w:val="20"/>
          <w:szCs w:val="20"/>
          <w14:ligatures w14:val="none"/>
        </w:rPr>
      </w:pPr>
      <w:r w:rsidRPr="004B0F16">
        <w:rPr>
          <w:rFonts w:ascii="Calibri" w:eastAsia="Aptos" w:hAnsi="Calibri" w:cs="Calibri"/>
          <w:kern w:val="0"/>
          <w:sz w:val="20"/>
          <w:szCs w:val="20"/>
          <w14:ligatures w14:val="none"/>
        </w:rPr>
        <w:t>Wszelkie użyte nazwy własne producentów należy traktować informacyjnie, dopuszczona jest możliwość zastosowania technologii w inny sposób zapewniający wszystkie poniższe funkcjonalności.</w:t>
      </w:r>
    </w:p>
    <w:p w14:paraId="57DEE741" w14:textId="77777777" w:rsidR="004B0F16" w:rsidRPr="004B0F16" w:rsidRDefault="004B0F16" w:rsidP="004B0F16">
      <w:pPr>
        <w:numPr>
          <w:ilvl w:val="0"/>
          <w:numId w:val="2"/>
        </w:numPr>
        <w:spacing w:after="0" w:line="240" w:lineRule="auto"/>
        <w:contextualSpacing/>
        <w:rPr>
          <w:rFonts w:ascii="Calibri" w:eastAsia="Aptos" w:hAnsi="Calibri" w:cs="Calibri"/>
          <w:kern w:val="0"/>
          <w:sz w:val="20"/>
          <w:szCs w:val="20"/>
          <w14:ligatures w14:val="none"/>
        </w:rPr>
      </w:pPr>
      <w:r w:rsidRPr="004B0F16">
        <w:rPr>
          <w:rFonts w:ascii="Calibri" w:eastAsia="Aptos" w:hAnsi="Calibri" w:cs="Calibri"/>
          <w:kern w:val="0"/>
          <w:sz w:val="20"/>
          <w:szCs w:val="20"/>
          <w14:ligatures w14:val="none"/>
        </w:rPr>
        <w:t>Zamawiający dopuszcza zaoferowanie produktów równoważnych. Zamawiający użył znaków towarowych dla powyższych produktów w oparciu o art. 99 ust. 5 Ustawy z dnia 11.09.2019 r. Prawo zamówień publicznych. Wykonawca powołujący się na rozwiązania równoważne stosownie do dyspozycji art. 101 ust. 5 PZP musi wykazać, że oferowane dostawy spełniają warunki określone przez Zamawiającego w stopniu nie gorszym.</w:t>
      </w:r>
      <w:r w:rsidRPr="004B0F16">
        <w:rPr>
          <w:rFonts w:ascii="Calibri" w:eastAsia="Aptos" w:hAnsi="Calibri" w:cs="Calibri"/>
          <w:kern w:val="0"/>
          <w:sz w:val="20"/>
          <w:szCs w:val="20"/>
          <w14:ligatures w14:val="none"/>
        </w:rPr>
        <w:br/>
        <w:t>Na Wykonawcy spoczywa obwiązek wykazania jego równoważności. Wykonawca, który zaoferuje rozwiązanie równoważne, zobligowany jest zawrzeć w ofercie opis sprzętu lub oprogramowania równoważnego, zawierający opis parametrów i funkcjonalności dla sprzętu lub oprogramowania równoważnego, określonych poniżej. Z opisu powinno jednoznaczne wynikać, że produkt oferowany jako równoważny spełnia wymagania.</w:t>
      </w:r>
    </w:p>
    <w:p w14:paraId="1D5A9EC7" w14:textId="77777777" w:rsidR="004B0F16" w:rsidRPr="004B0F16" w:rsidRDefault="004B0F16" w:rsidP="004B0F16">
      <w:pPr>
        <w:numPr>
          <w:ilvl w:val="0"/>
          <w:numId w:val="2"/>
        </w:numPr>
        <w:spacing w:after="0" w:line="240" w:lineRule="auto"/>
        <w:jc w:val="both"/>
        <w:rPr>
          <w:rFonts w:ascii="Calibri" w:eastAsia="Aptos" w:hAnsi="Calibri" w:cs="Calibri"/>
          <w:kern w:val="0"/>
          <w:sz w:val="20"/>
          <w:szCs w:val="20"/>
          <w14:ligatures w14:val="none"/>
        </w:rPr>
      </w:pPr>
      <w:r w:rsidRPr="004B0F16">
        <w:rPr>
          <w:rFonts w:ascii="Calibri" w:eastAsia="Aptos" w:hAnsi="Calibri" w:cs="Calibri"/>
          <w:kern w:val="0"/>
          <w:sz w:val="20"/>
          <w:szCs w:val="20"/>
          <w14:ligatures w14:val="none"/>
        </w:rPr>
        <w:t xml:space="preserve">Wykonawca odpowiada za działania i zaniechania osób skierowanych do realizacji zadania jak za własne działania i zaniechania. </w:t>
      </w:r>
    </w:p>
    <w:p w14:paraId="76A303DB" w14:textId="77777777" w:rsidR="00E14D70" w:rsidRDefault="00E14D70" w:rsidP="00E14D70">
      <w:pPr>
        <w:jc w:val="both"/>
      </w:pPr>
    </w:p>
    <w:p w14:paraId="47E42978" w14:textId="45EF53CE" w:rsidR="00E14D70" w:rsidRPr="00E14D70" w:rsidRDefault="00E14D70" w:rsidP="00755907">
      <w:pPr>
        <w:widowControl w:val="0"/>
        <w:ind w:left="4956" w:firstLine="708"/>
        <w:jc w:val="center"/>
        <w:rPr>
          <w:rFonts w:ascii="Arial" w:eastAsia="Arial MT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14D70">
        <w:rPr>
          <w:rFonts w:ascii="Arial" w:eastAsia="Arial MT" w:hAnsi="Arial" w:cs="Arial"/>
          <w:color w:val="000000"/>
          <w:kern w:val="0"/>
          <w:sz w:val="20"/>
          <w:szCs w:val="20"/>
          <w:lang w:eastAsia="pl-PL"/>
          <w14:ligatures w14:val="none"/>
        </w:rPr>
        <w:t>...................................................................</w:t>
      </w:r>
    </w:p>
    <w:p w14:paraId="1717BE08" w14:textId="70C5E53B" w:rsidR="00E14D70" w:rsidRPr="00E14D70" w:rsidRDefault="00E14D70" w:rsidP="00E14D70">
      <w:pPr>
        <w:widowControl w:val="0"/>
        <w:spacing w:after="0" w:line="240" w:lineRule="auto"/>
        <w:ind w:left="5664"/>
        <w:jc w:val="center"/>
        <w:rPr>
          <w:rFonts w:ascii="Arial" w:eastAsia="Arial MT" w:hAnsi="Arial" w:cs="Arial"/>
          <w:color w:val="FF0000"/>
          <w:kern w:val="0"/>
          <w:sz w:val="18"/>
          <w:szCs w:val="18"/>
          <w:lang w:eastAsia="pl-PL"/>
          <w14:ligatures w14:val="none"/>
        </w:rPr>
      </w:pPr>
      <w:r w:rsidRPr="00E14D70">
        <w:rPr>
          <w:rFonts w:ascii="Arial" w:eastAsia="Arial MT" w:hAnsi="Arial" w:cs="Arial"/>
          <w:i/>
          <w:color w:val="FF0000"/>
          <w:kern w:val="0"/>
          <w:sz w:val="18"/>
          <w:szCs w:val="18"/>
          <w:lang w:eastAsia="pl-PL"/>
          <w14:ligatures w14:val="none"/>
        </w:rPr>
        <w:t xml:space="preserve">kwalifikowany </w:t>
      </w:r>
      <w:r w:rsidRPr="00E14D70">
        <w:rPr>
          <w:rFonts w:ascii="Arial" w:eastAsia="Arial MT" w:hAnsi="Arial" w:cs="Arial"/>
          <w:b/>
          <w:i/>
          <w:color w:val="FF0000"/>
          <w:kern w:val="0"/>
          <w:sz w:val="18"/>
          <w:szCs w:val="18"/>
          <w:u w:val="single"/>
          <w:lang w:eastAsia="pl-PL"/>
          <w14:ligatures w14:val="none"/>
        </w:rPr>
        <w:t>podpis elektroniczny</w:t>
      </w:r>
      <w:r w:rsidRPr="00E14D70">
        <w:rPr>
          <w:rFonts w:ascii="Arial" w:eastAsia="Arial MT" w:hAnsi="Arial" w:cs="Arial"/>
          <w:i/>
          <w:color w:val="FF0000"/>
          <w:kern w:val="0"/>
          <w:sz w:val="18"/>
          <w:szCs w:val="18"/>
          <w:lang w:eastAsia="pl-PL"/>
          <w14:ligatures w14:val="none"/>
        </w:rPr>
        <w:t xml:space="preserve"> upoważnionego </w:t>
      </w:r>
      <w:r>
        <w:rPr>
          <w:rFonts w:ascii="Arial" w:eastAsia="Arial MT" w:hAnsi="Arial" w:cs="Arial"/>
          <w:i/>
          <w:color w:val="FF0000"/>
          <w:kern w:val="0"/>
          <w:sz w:val="18"/>
          <w:szCs w:val="18"/>
          <w:lang w:eastAsia="pl-PL"/>
          <w14:ligatures w14:val="none"/>
        </w:rPr>
        <w:br/>
      </w:r>
      <w:r w:rsidRPr="00E14D70">
        <w:rPr>
          <w:rFonts w:ascii="Arial" w:eastAsia="Arial MT" w:hAnsi="Arial" w:cs="Arial"/>
          <w:i/>
          <w:color w:val="FF0000"/>
          <w:kern w:val="0"/>
          <w:sz w:val="18"/>
          <w:szCs w:val="18"/>
          <w:lang w:eastAsia="pl-PL"/>
          <w14:ligatures w14:val="none"/>
        </w:rPr>
        <w:t>przedstawiciela uprawnionego do reprezentacji podmiotu</w:t>
      </w:r>
    </w:p>
    <w:p w14:paraId="556E5F32" w14:textId="6D1EBBC7" w:rsidR="00E14D70" w:rsidRDefault="00E14D70" w:rsidP="00E14D70">
      <w:pPr>
        <w:jc w:val="both"/>
      </w:pPr>
    </w:p>
    <w:sectPr w:rsidR="00E14D70" w:rsidSect="00E8234C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EE5D8" w14:textId="77777777" w:rsidR="00F06FC0" w:rsidRDefault="00F06FC0" w:rsidP="00E14D70">
      <w:pPr>
        <w:spacing w:after="0" w:line="240" w:lineRule="auto"/>
      </w:pPr>
      <w:r>
        <w:separator/>
      </w:r>
    </w:p>
  </w:endnote>
  <w:endnote w:type="continuationSeparator" w:id="0">
    <w:p w14:paraId="3EBADFFF" w14:textId="77777777" w:rsidR="00F06FC0" w:rsidRDefault="00F06FC0" w:rsidP="00E14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55437" w14:textId="29649231" w:rsidR="005D40FF" w:rsidRDefault="005D40FF">
    <w:pPr>
      <w:pStyle w:val="Stopka"/>
    </w:pPr>
    <w:r>
      <w:rPr>
        <w:noProof/>
      </w:rPr>
      <w:drawing>
        <wp:inline distT="0" distB="0" distL="0" distR="0" wp14:anchorId="124936B3" wp14:editId="1DC41CCA">
          <wp:extent cx="5850255" cy="673100"/>
          <wp:effectExtent l="0" t="0" r="0" b="0"/>
          <wp:docPr id="17364052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05285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255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D6715" w14:textId="77777777" w:rsidR="00F06FC0" w:rsidRDefault="00F06FC0" w:rsidP="00E14D70">
      <w:pPr>
        <w:spacing w:after="0" w:line="240" w:lineRule="auto"/>
      </w:pPr>
      <w:r>
        <w:separator/>
      </w:r>
    </w:p>
  </w:footnote>
  <w:footnote w:type="continuationSeparator" w:id="0">
    <w:p w14:paraId="5ACFC14C" w14:textId="77777777" w:rsidR="00F06FC0" w:rsidRDefault="00F06FC0" w:rsidP="00E14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F7F28" w14:textId="04126D9E" w:rsidR="00E14D70" w:rsidRDefault="00E14D70" w:rsidP="00E14D70">
    <w:pPr>
      <w:pStyle w:val="Nagwek"/>
      <w:ind w:left="9204"/>
      <w:rPr>
        <w:rFonts w:ascii="Arial" w:hAnsi="Arial" w:cs="Arial"/>
        <w:b/>
        <w:bCs/>
        <w:sz w:val="22"/>
        <w:szCs w:val="22"/>
      </w:rPr>
    </w:pPr>
    <w:r w:rsidRPr="00E14D70">
      <w:rPr>
        <w:rFonts w:ascii="Arial" w:hAnsi="Arial" w:cs="Arial"/>
        <w:b/>
        <w:bCs/>
        <w:sz w:val="22"/>
        <w:szCs w:val="22"/>
      </w:rPr>
      <w:t xml:space="preserve">Załącznik nr </w:t>
    </w:r>
    <w:r w:rsidR="00327F1F">
      <w:rPr>
        <w:rFonts w:ascii="Arial" w:hAnsi="Arial" w:cs="Arial"/>
        <w:b/>
        <w:bCs/>
        <w:sz w:val="22"/>
        <w:szCs w:val="22"/>
      </w:rPr>
      <w:t>1</w:t>
    </w:r>
    <w:r w:rsidRPr="00E14D70">
      <w:rPr>
        <w:rFonts w:ascii="Arial" w:hAnsi="Arial" w:cs="Arial"/>
        <w:b/>
        <w:bCs/>
        <w:sz w:val="22"/>
        <w:szCs w:val="22"/>
      </w:rPr>
      <w:t>.</w:t>
    </w:r>
    <w:r w:rsidR="004B0F16">
      <w:rPr>
        <w:rFonts w:ascii="Arial" w:hAnsi="Arial" w:cs="Arial"/>
        <w:b/>
        <w:bCs/>
        <w:sz w:val="22"/>
        <w:szCs w:val="22"/>
      </w:rPr>
      <w:t>3</w:t>
    </w:r>
    <w:r w:rsidRPr="00E14D70">
      <w:rPr>
        <w:rFonts w:ascii="Arial" w:hAnsi="Arial" w:cs="Arial"/>
        <w:b/>
        <w:bCs/>
        <w:sz w:val="22"/>
        <w:szCs w:val="22"/>
      </w:rPr>
      <w:t xml:space="preserve"> do Formularza Ofertowego</w:t>
    </w:r>
  </w:p>
  <w:p w14:paraId="382F753B" w14:textId="77777777" w:rsidR="00E14D70" w:rsidRDefault="00E14D70" w:rsidP="00E14D70">
    <w:pPr>
      <w:pStyle w:val="Nagwek"/>
      <w:ind w:left="9204"/>
      <w:rPr>
        <w:rFonts w:ascii="Arial" w:hAnsi="Arial" w:cs="Arial"/>
        <w:b/>
        <w:bCs/>
        <w:sz w:val="22"/>
        <w:szCs w:val="22"/>
      </w:rPr>
    </w:pPr>
  </w:p>
  <w:p w14:paraId="79478683" w14:textId="77777777" w:rsidR="00E14D70" w:rsidRDefault="00E14D70" w:rsidP="00E14D70">
    <w:pPr>
      <w:pStyle w:val="Nagwek"/>
      <w:ind w:left="9204"/>
      <w:rPr>
        <w:rFonts w:ascii="Arial" w:hAnsi="Arial" w:cs="Arial"/>
        <w:b/>
        <w:bCs/>
        <w:sz w:val="22"/>
        <w:szCs w:val="22"/>
      </w:rPr>
    </w:pPr>
  </w:p>
  <w:p w14:paraId="3731CDD8" w14:textId="603621EE" w:rsidR="00E14D70" w:rsidRDefault="00E14D70" w:rsidP="00E14D70">
    <w:pPr>
      <w:pStyle w:val="Nagwek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Formularz asortymentowy</w:t>
    </w:r>
    <w:r w:rsidR="00367F08">
      <w:rPr>
        <w:rFonts w:ascii="Arial" w:hAnsi="Arial" w:cs="Arial"/>
        <w:b/>
        <w:bCs/>
        <w:sz w:val="22"/>
        <w:szCs w:val="22"/>
      </w:rPr>
      <w:t xml:space="preserve"> (Część 3 – Pakiet 3)</w:t>
    </w:r>
  </w:p>
  <w:p w14:paraId="4FB7086B" w14:textId="77777777" w:rsidR="00E14D70" w:rsidRPr="00E14D70" w:rsidRDefault="00E14D70" w:rsidP="00E14D70">
    <w:pPr>
      <w:pStyle w:val="Nagwek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D0A97"/>
    <w:multiLevelType w:val="hybridMultilevel"/>
    <w:tmpl w:val="39106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868FB"/>
    <w:multiLevelType w:val="multilevel"/>
    <w:tmpl w:val="8746EC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65B1262"/>
    <w:multiLevelType w:val="multilevel"/>
    <w:tmpl w:val="9AC293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91C23EC"/>
    <w:multiLevelType w:val="hybridMultilevel"/>
    <w:tmpl w:val="AA60BC48"/>
    <w:lvl w:ilvl="0" w:tplc="39F0F7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F64698"/>
    <w:multiLevelType w:val="hybridMultilevel"/>
    <w:tmpl w:val="B2B2FB1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num w:numId="1" w16cid:durableId="239562356">
    <w:abstractNumId w:val="0"/>
  </w:num>
  <w:num w:numId="2" w16cid:durableId="437481302">
    <w:abstractNumId w:val="4"/>
  </w:num>
  <w:num w:numId="3" w16cid:durableId="1568303666">
    <w:abstractNumId w:val="2"/>
  </w:num>
  <w:num w:numId="4" w16cid:durableId="967466248">
    <w:abstractNumId w:val="1"/>
  </w:num>
  <w:num w:numId="5" w16cid:durableId="1342467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3E0"/>
    <w:rsid w:val="00172F60"/>
    <w:rsid w:val="00194067"/>
    <w:rsid w:val="00327F1F"/>
    <w:rsid w:val="00335502"/>
    <w:rsid w:val="00361D85"/>
    <w:rsid w:val="00367F08"/>
    <w:rsid w:val="0040290A"/>
    <w:rsid w:val="00463369"/>
    <w:rsid w:val="004B0F16"/>
    <w:rsid w:val="004D64B2"/>
    <w:rsid w:val="005D40FF"/>
    <w:rsid w:val="00612587"/>
    <w:rsid w:val="007544FB"/>
    <w:rsid w:val="00755907"/>
    <w:rsid w:val="007675AA"/>
    <w:rsid w:val="00806299"/>
    <w:rsid w:val="00834D2D"/>
    <w:rsid w:val="008B486C"/>
    <w:rsid w:val="008F09A2"/>
    <w:rsid w:val="0099319D"/>
    <w:rsid w:val="009F0D13"/>
    <w:rsid w:val="00A45B0E"/>
    <w:rsid w:val="00A52E8E"/>
    <w:rsid w:val="00B040FB"/>
    <w:rsid w:val="00BF1C4D"/>
    <w:rsid w:val="00CC33E0"/>
    <w:rsid w:val="00D163D4"/>
    <w:rsid w:val="00D846D2"/>
    <w:rsid w:val="00E14D70"/>
    <w:rsid w:val="00E8234C"/>
    <w:rsid w:val="00F0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166F7"/>
  <w15:chartTrackingRefBased/>
  <w15:docId w15:val="{8D255479-1453-43C2-ABDB-BCD97AA7F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C33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33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33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33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33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33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33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33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33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33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33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33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33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33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33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33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33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33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33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33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33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33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33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33E0"/>
    <w:rPr>
      <w:i/>
      <w:iCs/>
      <w:color w:val="404040" w:themeColor="text1" w:themeTint="BF"/>
    </w:rPr>
  </w:style>
  <w:style w:type="paragraph" w:styleId="Akapitzlist">
    <w:name w:val="List Paragraph"/>
    <w:aliases w:val="L1,Numerowanie,normalny tekst,BulletC,Wyliczanie,Obiekt,Akapit z listą31,Bullets,Preambuła,Wypunktowanie,CW_Lista,Akapit z listą siwz,Podsis rysunku,Akapit z listą numerowaną,Akapit z listą3,Normal2,List Paragraph1,lp1,Bullet Number,lp11"/>
    <w:basedOn w:val="Normalny"/>
    <w:link w:val="AkapitzlistZnak"/>
    <w:qFormat/>
    <w:rsid w:val="00CC33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33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33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33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33E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82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14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4D70"/>
  </w:style>
  <w:style w:type="paragraph" w:styleId="Stopka">
    <w:name w:val="footer"/>
    <w:basedOn w:val="Normalny"/>
    <w:link w:val="StopkaZnak"/>
    <w:uiPriority w:val="99"/>
    <w:unhideWhenUsed/>
    <w:rsid w:val="00E14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4D70"/>
  </w:style>
  <w:style w:type="character" w:styleId="Odwoaniedokomentarza">
    <w:name w:val="annotation reference"/>
    <w:basedOn w:val="Domylnaczcionkaakapitu"/>
    <w:uiPriority w:val="99"/>
    <w:semiHidden/>
    <w:unhideWhenUsed/>
    <w:rsid w:val="008F09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09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09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09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09A2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normalny tekst Znak,BulletC Znak,Wyliczanie Znak,Obiekt Znak,Akapit z listą31 Znak,Bullets Znak,Preambuła Znak,Wypunktowanie Znak,CW_Lista Znak,Akapit z listą siwz Znak,Podsis rysunku Znak,Normal2 Znak"/>
    <w:basedOn w:val="Domylnaczcionkaakapitu"/>
    <w:link w:val="Akapitzlist"/>
    <w:uiPriority w:val="34"/>
    <w:qFormat/>
    <w:locked/>
    <w:rsid w:val="004B0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1081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Żelazko Edyta</dc:creator>
  <cp:keywords/>
  <dc:description/>
  <cp:lastModifiedBy>Gromadzka Agnieszka</cp:lastModifiedBy>
  <cp:revision>14</cp:revision>
  <cp:lastPrinted>2026-04-14T09:28:00Z</cp:lastPrinted>
  <dcterms:created xsi:type="dcterms:W3CDTF">2026-03-30T11:33:00Z</dcterms:created>
  <dcterms:modified xsi:type="dcterms:W3CDTF">2026-04-14T09:28:00Z</dcterms:modified>
</cp:coreProperties>
</file>